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9D8698" w14:textId="221BF40A" w:rsidR="0070097A" w:rsidRDefault="001260E3">
      <w:pPr>
        <w:widowControl w:val="0"/>
        <w:jc w:val="right"/>
        <w:rPr>
          <w:rFonts w:ascii="Calibri" w:eastAsia="Calibri" w:hAnsi="Calibri" w:cs="Calibri"/>
          <w:sz w:val="22"/>
          <w:szCs w:val="22"/>
          <w:highlight w:val="white"/>
        </w:rPr>
      </w:pPr>
      <w:r>
        <w:rPr>
          <w:rFonts w:ascii="Calibri" w:eastAsia="Calibri" w:hAnsi="Calibri" w:cs="Calibri"/>
          <w:sz w:val="22"/>
          <w:szCs w:val="22"/>
          <w:highlight w:val="white"/>
        </w:rPr>
        <w:t xml:space="preserve">Vilnius, 2022 m. </w:t>
      </w:r>
      <w:r w:rsidR="00CD6AD2">
        <w:rPr>
          <w:rFonts w:ascii="Calibri" w:eastAsia="Calibri" w:hAnsi="Calibri" w:cs="Calibri"/>
          <w:sz w:val="22"/>
          <w:szCs w:val="22"/>
          <w:highlight w:val="white"/>
        </w:rPr>
        <w:t>balandžio 26</w:t>
      </w:r>
      <w:r>
        <w:rPr>
          <w:rFonts w:ascii="Calibri" w:eastAsia="Calibri" w:hAnsi="Calibri" w:cs="Calibri"/>
          <w:sz w:val="22"/>
          <w:szCs w:val="22"/>
          <w:highlight w:val="white"/>
        </w:rPr>
        <w:t xml:space="preserve"> d.</w:t>
      </w:r>
    </w:p>
    <w:p w14:paraId="3D413C40" w14:textId="77777777" w:rsidR="0070097A" w:rsidRDefault="0070097A">
      <w:pPr>
        <w:widowControl w:val="0"/>
        <w:jc w:val="both"/>
        <w:rPr>
          <w:rFonts w:ascii="Calibri" w:eastAsia="Calibri" w:hAnsi="Calibri" w:cs="Calibri"/>
          <w:sz w:val="22"/>
          <w:szCs w:val="22"/>
        </w:rPr>
      </w:pPr>
    </w:p>
    <w:p w14:paraId="0AB14496" w14:textId="04E491D6" w:rsidR="0070097A" w:rsidRDefault="001260E3">
      <w:pPr>
        <w:widowControl w:val="0"/>
        <w:jc w:val="center"/>
        <w:rPr>
          <w:rFonts w:ascii="Calibri" w:eastAsia="Calibri" w:hAnsi="Calibri" w:cs="Calibri"/>
          <w:b/>
          <w:color w:val="1F497D"/>
          <w:sz w:val="36"/>
          <w:szCs w:val="36"/>
        </w:rPr>
      </w:pPr>
      <w:r>
        <w:rPr>
          <w:rFonts w:ascii="Calibri" w:eastAsia="Calibri" w:hAnsi="Calibri" w:cs="Calibri"/>
          <w:b/>
          <w:color w:val="1F497D"/>
          <w:sz w:val="36"/>
          <w:szCs w:val="36"/>
        </w:rPr>
        <w:t>Per devynis mėnesius ruoniukams surinkta virš 4</w:t>
      </w:r>
      <w:r w:rsidR="005E0197">
        <w:rPr>
          <w:rFonts w:ascii="Calibri" w:eastAsia="Calibri" w:hAnsi="Calibri" w:cs="Calibri"/>
          <w:b/>
          <w:color w:val="1F497D"/>
          <w:sz w:val="36"/>
          <w:szCs w:val="36"/>
        </w:rPr>
        <w:t>6</w:t>
      </w:r>
      <w:r>
        <w:rPr>
          <w:rFonts w:ascii="Calibri" w:eastAsia="Calibri" w:hAnsi="Calibri" w:cs="Calibri"/>
          <w:b/>
          <w:color w:val="1F497D"/>
          <w:sz w:val="36"/>
          <w:szCs w:val="36"/>
        </w:rPr>
        <w:t xml:space="preserve"> tūkst. eurų: daugiausiai paramos reikės rudenį</w:t>
      </w:r>
    </w:p>
    <w:p w14:paraId="2FC1DC00" w14:textId="77777777" w:rsidR="0070097A" w:rsidRDefault="0070097A">
      <w:pPr>
        <w:jc w:val="both"/>
        <w:rPr>
          <w:rFonts w:ascii="Calibri" w:eastAsia="Calibri" w:hAnsi="Calibri" w:cs="Calibri"/>
          <w:b/>
          <w:sz w:val="22"/>
          <w:szCs w:val="22"/>
        </w:rPr>
      </w:pPr>
    </w:p>
    <w:p w14:paraId="3B21B954" w14:textId="5517F2EA" w:rsidR="0070097A" w:rsidRDefault="001260E3">
      <w:pPr>
        <w:jc w:val="both"/>
        <w:rPr>
          <w:rFonts w:ascii="Calibri" w:eastAsia="Calibri" w:hAnsi="Calibri" w:cs="Calibri"/>
          <w:b/>
          <w:sz w:val="22"/>
          <w:szCs w:val="22"/>
        </w:rPr>
      </w:pPr>
      <w:r>
        <w:rPr>
          <w:rFonts w:ascii="Calibri" w:eastAsia="Calibri" w:hAnsi="Calibri" w:cs="Calibri"/>
          <w:b/>
          <w:sz w:val="22"/>
          <w:szCs w:val="22"/>
        </w:rPr>
        <w:t>Prieš daugiau kaip devynis mėnesius startavęs „Lidl Lietuva“ projektas „Duok ruoniukui penkis“ suteikia progą prekybos tinklo pirkėjams ištiesti pagalbos ranką ruoniams ir kitiems Baltijos jūros gyvūnams. Už kiekvieną įsigytą daugkartinį, projektui sukurtą maišelį yra skiriama po 0,05 euro Lietuvos jūrų muziejaus Baltijos jūros gyvūnų reabilitacijos veiklai. Per pirmuosius tris projekto ketvirčius surink</w:t>
      </w:r>
      <w:r w:rsidR="00B36493">
        <w:rPr>
          <w:rFonts w:ascii="Calibri" w:eastAsia="Calibri" w:hAnsi="Calibri" w:cs="Calibri"/>
          <w:b/>
          <w:sz w:val="22"/>
          <w:szCs w:val="22"/>
        </w:rPr>
        <w:t>t</w:t>
      </w:r>
      <w:r>
        <w:rPr>
          <w:rFonts w:ascii="Calibri" w:eastAsia="Calibri" w:hAnsi="Calibri" w:cs="Calibri"/>
          <w:b/>
          <w:sz w:val="22"/>
          <w:szCs w:val="22"/>
        </w:rPr>
        <w:t>a jau daugiau kaip 46 tūkst. eurų. Muziejaus atstovai pasakoja, kad pajūryje šį sezoną išgelbėta jau 20 ruoniukų. Jiems, kaip ir kitiems žinduoliams, kurie bus rasti šiemet, šalies moksleiviai konkurso būdu išrinks vardus iš saugomų Lietuvos augalų pavadinimų.</w:t>
      </w:r>
    </w:p>
    <w:p w14:paraId="17CF9061" w14:textId="77777777" w:rsidR="0070097A" w:rsidRDefault="0070097A">
      <w:pPr>
        <w:jc w:val="both"/>
        <w:rPr>
          <w:rFonts w:ascii="Calibri" w:eastAsia="Calibri" w:hAnsi="Calibri" w:cs="Calibri"/>
          <w:b/>
          <w:sz w:val="22"/>
          <w:szCs w:val="22"/>
        </w:rPr>
      </w:pPr>
    </w:p>
    <w:p w14:paraId="10E289F2" w14:textId="419C6860" w:rsidR="0070097A" w:rsidRDefault="001260E3">
      <w:pPr>
        <w:jc w:val="both"/>
        <w:rPr>
          <w:rFonts w:ascii="Calibri" w:eastAsia="Calibri" w:hAnsi="Calibri" w:cs="Calibri"/>
          <w:sz w:val="22"/>
          <w:szCs w:val="22"/>
        </w:rPr>
      </w:pPr>
      <w:r>
        <w:rPr>
          <w:rFonts w:ascii="Calibri" w:eastAsia="Calibri" w:hAnsi="Calibri" w:cs="Calibri"/>
          <w:sz w:val="22"/>
          <w:szCs w:val="22"/>
        </w:rPr>
        <w:t xml:space="preserve">„Suteikę galimybę mūsų parduotuvių lankytojams nesudėtingu būdu paremti Baltijos jūros gyvūnų reabilitaciją, pamatėme, kad lietuviams </w:t>
      </w:r>
      <w:r w:rsidRPr="00DF26E5">
        <w:rPr>
          <w:rFonts w:ascii="Calibri" w:eastAsia="Calibri" w:hAnsi="Calibri" w:cs="Calibri"/>
          <w:sz w:val="22"/>
          <w:szCs w:val="22"/>
        </w:rPr>
        <w:t>vis labiau rūpi ne tik socialinės</w:t>
      </w:r>
      <w:r>
        <w:rPr>
          <w:rFonts w:ascii="Calibri" w:eastAsia="Calibri" w:hAnsi="Calibri" w:cs="Calibri"/>
          <w:sz w:val="22"/>
          <w:szCs w:val="22"/>
        </w:rPr>
        <w:t>, bet ir su aplinkosauga susijusios problemos. Džiaugiamės, kad šalies gyventoj</w:t>
      </w:r>
      <w:r w:rsidR="00DF26E5">
        <w:rPr>
          <w:rFonts w:ascii="Calibri" w:eastAsia="Calibri" w:hAnsi="Calibri" w:cs="Calibri"/>
          <w:sz w:val="22"/>
          <w:szCs w:val="22"/>
        </w:rPr>
        <w:t>ai</w:t>
      </w:r>
      <w:r>
        <w:rPr>
          <w:rFonts w:ascii="Calibri" w:eastAsia="Calibri" w:hAnsi="Calibri" w:cs="Calibri"/>
          <w:sz w:val="22"/>
          <w:szCs w:val="22"/>
        </w:rPr>
        <w:t xml:space="preserve"> </w:t>
      </w:r>
      <w:r w:rsidR="00DF26E5">
        <w:rPr>
          <w:rFonts w:ascii="Calibri" w:eastAsia="Calibri" w:hAnsi="Calibri" w:cs="Calibri"/>
          <w:sz w:val="22"/>
          <w:szCs w:val="22"/>
        </w:rPr>
        <w:t>aktyviai</w:t>
      </w:r>
      <w:r>
        <w:rPr>
          <w:rFonts w:ascii="Calibri" w:eastAsia="Calibri" w:hAnsi="Calibri" w:cs="Calibri"/>
          <w:sz w:val="22"/>
          <w:szCs w:val="22"/>
        </w:rPr>
        <w:t xml:space="preserve"> </w:t>
      </w:r>
      <w:r w:rsidR="00DF26E5">
        <w:rPr>
          <w:rFonts w:ascii="Calibri" w:eastAsia="Calibri" w:hAnsi="Calibri" w:cs="Calibri"/>
          <w:sz w:val="22"/>
          <w:szCs w:val="22"/>
        </w:rPr>
        <w:t xml:space="preserve">prie to </w:t>
      </w:r>
      <w:r>
        <w:rPr>
          <w:rFonts w:ascii="Calibri" w:eastAsia="Calibri" w:hAnsi="Calibri" w:cs="Calibri"/>
          <w:sz w:val="22"/>
          <w:szCs w:val="22"/>
        </w:rPr>
        <w:t>prisid</w:t>
      </w:r>
      <w:r w:rsidR="00DF26E5">
        <w:rPr>
          <w:rFonts w:ascii="Calibri" w:eastAsia="Calibri" w:hAnsi="Calibri" w:cs="Calibri"/>
          <w:sz w:val="22"/>
          <w:szCs w:val="22"/>
        </w:rPr>
        <w:t>eda</w:t>
      </w:r>
      <w:r>
        <w:rPr>
          <w:rFonts w:ascii="Calibri" w:eastAsia="Calibri" w:hAnsi="Calibri" w:cs="Calibri"/>
          <w:sz w:val="22"/>
          <w:szCs w:val="22"/>
        </w:rPr>
        <w:t xml:space="preserve"> ir neabejojame, kad šis projektas </w:t>
      </w:r>
      <w:r w:rsidR="00DF26E5">
        <w:rPr>
          <w:rFonts w:ascii="Calibri" w:eastAsia="Calibri" w:hAnsi="Calibri" w:cs="Calibri"/>
          <w:sz w:val="22"/>
          <w:szCs w:val="22"/>
        </w:rPr>
        <w:t>padeda ne tik rinkti lėšas, bet ir didinti supratimą apie biologinės įvairovės svarbą bei atsakingus pasirinkimus</w:t>
      </w:r>
      <w:r>
        <w:rPr>
          <w:rFonts w:ascii="Calibri" w:eastAsia="Calibri" w:hAnsi="Calibri" w:cs="Calibri"/>
          <w:sz w:val="22"/>
          <w:szCs w:val="22"/>
        </w:rPr>
        <w:t>“, – teigia „Lidl Lietuva“ Korporatyvinių reikalų ir komunikacijos departamento vadovas Valdas Lopeta.</w:t>
      </w:r>
    </w:p>
    <w:p w14:paraId="5DD2BEF0" w14:textId="77777777" w:rsidR="0070097A" w:rsidRDefault="0070097A">
      <w:pPr>
        <w:jc w:val="both"/>
        <w:rPr>
          <w:rFonts w:ascii="Calibri" w:eastAsia="Calibri" w:hAnsi="Calibri" w:cs="Calibri"/>
          <w:b/>
          <w:sz w:val="22"/>
          <w:szCs w:val="22"/>
        </w:rPr>
      </w:pPr>
    </w:p>
    <w:p w14:paraId="78F3D59A" w14:textId="77777777" w:rsidR="0070097A" w:rsidRDefault="001260E3">
      <w:pPr>
        <w:jc w:val="both"/>
        <w:rPr>
          <w:rFonts w:ascii="Calibri" w:eastAsia="Calibri" w:hAnsi="Calibri" w:cs="Calibri"/>
          <w:b/>
          <w:sz w:val="22"/>
          <w:szCs w:val="22"/>
        </w:rPr>
      </w:pPr>
      <w:r>
        <w:rPr>
          <w:rFonts w:ascii="Calibri" w:eastAsia="Calibri" w:hAnsi="Calibri" w:cs="Calibri"/>
          <w:b/>
          <w:sz w:val="22"/>
          <w:szCs w:val="22"/>
        </w:rPr>
        <w:t>Daugiausiai paramos reikės šį rudenį</w:t>
      </w:r>
    </w:p>
    <w:p w14:paraId="3D565BAC" w14:textId="77777777" w:rsidR="0070097A" w:rsidRDefault="0070097A">
      <w:pPr>
        <w:jc w:val="both"/>
        <w:rPr>
          <w:rFonts w:ascii="Calibri" w:eastAsia="Calibri" w:hAnsi="Calibri" w:cs="Calibri"/>
          <w:b/>
          <w:sz w:val="22"/>
          <w:szCs w:val="22"/>
        </w:rPr>
      </w:pPr>
    </w:p>
    <w:p w14:paraId="3507B086" w14:textId="4F4AB538" w:rsidR="0070097A" w:rsidRDefault="001260E3">
      <w:pPr>
        <w:jc w:val="both"/>
        <w:rPr>
          <w:rFonts w:ascii="Calibri" w:eastAsia="Calibri" w:hAnsi="Calibri" w:cs="Calibri"/>
          <w:sz w:val="22"/>
          <w:szCs w:val="22"/>
        </w:rPr>
      </w:pPr>
      <w:r>
        <w:rPr>
          <w:rFonts w:ascii="Calibri" w:eastAsia="Calibri" w:hAnsi="Calibri" w:cs="Calibri"/>
          <w:sz w:val="22"/>
          <w:szCs w:val="22"/>
        </w:rPr>
        <w:t xml:space="preserve">Kiekvienais metais šalies pajūryje yra randama apie 20 paliktų ar sužalotų ruonių jauniklių. </w:t>
      </w:r>
      <w:r w:rsidR="00DF26E5">
        <w:rPr>
          <w:rFonts w:ascii="Calibri" w:eastAsia="Calibri" w:hAnsi="Calibri" w:cs="Calibri"/>
          <w:sz w:val="22"/>
          <w:szCs w:val="22"/>
        </w:rPr>
        <w:t>P</w:t>
      </w:r>
      <w:r>
        <w:rPr>
          <w:rFonts w:ascii="Calibri" w:eastAsia="Calibri" w:hAnsi="Calibri" w:cs="Calibri"/>
          <w:sz w:val="22"/>
          <w:szCs w:val="22"/>
        </w:rPr>
        <w:t>agrindinės to priežastys yra susijusios su žmogaus ūkine veikla ir jos padariniais – ypač klimato atšilimu, taip pat laivyba, žvejyba, jūros tarša.</w:t>
      </w:r>
    </w:p>
    <w:p w14:paraId="030BD2C2" w14:textId="77777777" w:rsidR="0070097A" w:rsidRDefault="0070097A">
      <w:pPr>
        <w:jc w:val="both"/>
        <w:rPr>
          <w:rFonts w:ascii="Calibri" w:eastAsia="Calibri" w:hAnsi="Calibri" w:cs="Calibri"/>
          <w:sz w:val="22"/>
          <w:szCs w:val="22"/>
        </w:rPr>
      </w:pPr>
    </w:p>
    <w:p w14:paraId="77A11A4A" w14:textId="6D5B374A" w:rsidR="0070097A" w:rsidRDefault="001260E3">
      <w:pPr>
        <w:jc w:val="both"/>
        <w:rPr>
          <w:rFonts w:ascii="Calibri" w:eastAsia="Calibri" w:hAnsi="Calibri" w:cs="Calibri"/>
          <w:sz w:val="22"/>
          <w:szCs w:val="22"/>
        </w:rPr>
      </w:pPr>
      <w:r>
        <w:rPr>
          <w:rFonts w:ascii="Calibri" w:eastAsia="Calibri" w:hAnsi="Calibri" w:cs="Calibri"/>
          <w:sz w:val="22"/>
          <w:szCs w:val="22"/>
        </w:rPr>
        <w:t xml:space="preserve">Šiuo metu į Baltijos jūros krantą išmesti nusilpę ruoniukai yra gydomi Lietuvos jūrų muziejuje, tačiau jame nėra tinkamos infrastruktūros. Todėl jau visai netrukus Lietuvos jūrų muziejaus kompleksą Smiltynėje papildys Baltijos jūros gyvūnų reabilitacijos centras, kuriame bus sparčiau bei efektyviau </w:t>
      </w:r>
      <w:r w:rsidRPr="001260E3">
        <w:rPr>
          <w:rFonts w:ascii="Calibri" w:eastAsia="Calibri" w:hAnsi="Calibri" w:cs="Calibri"/>
          <w:sz w:val="22"/>
          <w:szCs w:val="22"/>
        </w:rPr>
        <w:t>gyd</w:t>
      </w:r>
      <w:r>
        <w:rPr>
          <w:rFonts w:ascii="Calibri" w:eastAsia="Calibri" w:hAnsi="Calibri" w:cs="Calibri"/>
          <w:sz w:val="22"/>
          <w:szCs w:val="22"/>
        </w:rPr>
        <w:t>omi nukentėję ruoniai ir vandens paukščiai. Vėliau jie bus paleidžiami į laisvę.</w:t>
      </w:r>
    </w:p>
    <w:p w14:paraId="7A7A8377" w14:textId="77777777" w:rsidR="0070097A" w:rsidRDefault="0070097A">
      <w:pPr>
        <w:jc w:val="both"/>
        <w:rPr>
          <w:rFonts w:ascii="Calibri" w:eastAsia="Calibri" w:hAnsi="Calibri" w:cs="Calibri"/>
          <w:sz w:val="22"/>
          <w:szCs w:val="22"/>
        </w:rPr>
      </w:pPr>
    </w:p>
    <w:p w14:paraId="49126371" w14:textId="77777777" w:rsidR="0070097A" w:rsidRDefault="001260E3">
      <w:pPr>
        <w:jc w:val="both"/>
        <w:rPr>
          <w:rFonts w:ascii="Calibri" w:eastAsia="Calibri" w:hAnsi="Calibri" w:cs="Calibri"/>
          <w:sz w:val="22"/>
          <w:szCs w:val="22"/>
        </w:rPr>
      </w:pPr>
      <w:r>
        <w:rPr>
          <w:rFonts w:ascii="Calibri" w:eastAsia="Calibri" w:hAnsi="Calibri" w:cs="Calibri"/>
          <w:sz w:val="22"/>
          <w:szCs w:val="22"/>
        </w:rPr>
        <w:t>„Matome, kaip „Lidl“ ir pirkėjų paramos akcija tampa efektyvia ir realiai veikiančia sutelktinio finansavimo platforma, leidžiančia siekti bendro tikslo – teikti pagalbą sergantiems, sužeistiems ar nusilpusiems Baltijos jūros gyvūnams. Didžiausias iššūkis, kuriam prireiks ir ženkliausios surinktų paramos lėšų sumos, laukia rudenį, kuomet ims veikti Baltijos jūros gyvūnų reabilitacijos centras. Už skirtas lėšas bus perkami būtiniausi reagentai, medikamentai, finansuojama laboratorijos įranga, įsigyjami medicininiai įrankiai“, – teigia Lietuvos jūrų muziejaus Kultūros komunikacijos ir rinkodaros skyriaus vedėja Nina Puteikienė.</w:t>
      </w:r>
    </w:p>
    <w:p w14:paraId="617DBF97" w14:textId="77777777" w:rsidR="0070097A" w:rsidRDefault="0070097A">
      <w:pPr>
        <w:jc w:val="both"/>
        <w:rPr>
          <w:rFonts w:ascii="Calibri" w:eastAsia="Calibri" w:hAnsi="Calibri" w:cs="Calibri"/>
          <w:b/>
          <w:sz w:val="22"/>
          <w:szCs w:val="22"/>
        </w:rPr>
      </w:pPr>
    </w:p>
    <w:p w14:paraId="302BE005" w14:textId="77777777" w:rsidR="0070097A" w:rsidRDefault="001260E3">
      <w:pPr>
        <w:jc w:val="both"/>
        <w:rPr>
          <w:rFonts w:ascii="Calibri" w:eastAsia="Calibri" w:hAnsi="Calibri" w:cs="Calibri"/>
          <w:b/>
          <w:sz w:val="22"/>
          <w:szCs w:val="22"/>
        </w:rPr>
      </w:pPr>
      <w:r>
        <w:rPr>
          <w:rFonts w:ascii="Calibri" w:eastAsia="Calibri" w:hAnsi="Calibri" w:cs="Calibri"/>
          <w:b/>
          <w:sz w:val="22"/>
          <w:szCs w:val="22"/>
        </w:rPr>
        <w:t>20 rastų ruoniukų – ne pabaiga</w:t>
      </w:r>
    </w:p>
    <w:p w14:paraId="1E3DE354" w14:textId="77777777" w:rsidR="0070097A" w:rsidRDefault="0070097A">
      <w:pPr>
        <w:jc w:val="both"/>
        <w:rPr>
          <w:rFonts w:ascii="Calibri" w:eastAsia="Calibri" w:hAnsi="Calibri" w:cs="Calibri"/>
          <w:b/>
          <w:sz w:val="22"/>
          <w:szCs w:val="22"/>
        </w:rPr>
      </w:pPr>
    </w:p>
    <w:p w14:paraId="4746DA3E" w14:textId="2A3DC85F" w:rsidR="0070097A" w:rsidRDefault="001260E3">
      <w:pPr>
        <w:jc w:val="both"/>
        <w:rPr>
          <w:rFonts w:ascii="Calibri" w:eastAsia="Calibri" w:hAnsi="Calibri" w:cs="Calibri"/>
          <w:sz w:val="22"/>
          <w:szCs w:val="22"/>
        </w:rPr>
      </w:pPr>
      <w:r>
        <w:rPr>
          <w:rFonts w:ascii="Calibri" w:eastAsia="Calibri" w:hAnsi="Calibri" w:cs="Calibri"/>
          <w:sz w:val="22"/>
          <w:szCs w:val="22"/>
        </w:rPr>
        <w:t xml:space="preserve">Pasak N. Puteikienės, šiemet muziejaus darbuotojai jau rūpinasi 20-čia pajūryje rastų ruoniukų. Anot jos, 4 itin žvalūs ruoniukai jau yra paleisti į muziejaus baseiną, kur tobulina savo plaukiojimo ir nardymo įgūdžius, augina svorį. Juos gali pamatyti ir muziejaus lankytojai, nes žengęs į šiltojo sezono ritmą, muziejus nuo balandžio 15 d. </w:t>
      </w:r>
      <w:r w:rsidR="005E0197">
        <w:rPr>
          <w:rFonts w:ascii="Calibri" w:eastAsia="Calibri" w:hAnsi="Calibri" w:cs="Calibri"/>
          <w:sz w:val="22"/>
          <w:szCs w:val="22"/>
        </w:rPr>
        <w:t xml:space="preserve">lankytojus </w:t>
      </w:r>
      <w:r>
        <w:rPr>
          <w:rFonts w:ascii="Calibri" w:eastAsia="Calibri" w:hAnsi="Calibri" w:cs="Calibri"/>
          <w:sz w:val="22"/>
          <w:szCs w:val="22"/>
        </w:rPr>
        <w:t xml:space="preserve">priima </w:t>
      </w:r>
      <w:r w:rsidR="00EF3E96">
        <w:rPr>
          <w:rFonts w:ascii="Calibri" w:eastAsia="Calibri" w:hAnsi="Calibri" w:cs="Calibri"/>
          <w:sz w:val="22"/>
          <w:szCs w:val="22"/>
        </w:rPr>
        <w:t xml:space="preserve">kasdien nuo </w:t>
      </w:r>
      <w:r>
        <w:rPr>
          <w:rFonts w:ascii="Calibri" w:eastAsia="Calibri" w:hAnsi="Calibri" w:cs="Calibri"/>
          <w:sz w:val="22"/>
          <w:szCs w:val="22"/>
        </w:rPr>
        <w:t>trečiadien</w:t>
      </w:r>
      <w:r w:rsidR="00EF3E96">
        <w:rPr>
          <w:rFonts w:ascii="Calibri" w:eastAsia="Calibri" w:hAnsi="Calibri" w:cs="Calibri"/>
          <w:sz w:val="22"/>
          <w:szCs w:val="22"/>
        </w:rPr>
        <w:t xml:space="preserve">io iki </w:t>
      </w:r>
      <w:r>
        <w:rPr>
          <w:rFonts w:ascii="Calibri" w:eastAsia="Calibri" w:hAnsi="Calibri" w:cs="Calibri"/>
          <w:sz w:val="22"/>
          <w:szCs w:val="22"/>
        </w:rPr>
        <w:t>sekmadien</w:t>
      </w:r>
      <w:r w:rsidR="00EF3E96">
        <w:rPr>
          <w:rFonts w:ascii="Calibri" w:eastAsia="Calibri" w:hAnsi="Calibri" w:cs="Calibri"/>
          <w:sz w:val="22"/>
          <w:szCs w:val="22"/>
        </w:rPr>
        <w:t>io</w:t>
      </w:r>
      <w:r>
        <w:rPr>
          <w:rFonts w:ascii="Calibri" w:eastAsia="Calibri" w:hAnsi="Calibri" w:cs="Calibri"/>
          <w:sz w:val="22"/>
          <w:szCs w:val="22"/>
        </w:rPr>
        <w:t>.</w:t>
      </w:r>
    </w:p>
    <w:p w14:paraId="042F565E" w14:textId="77777777" w:rsidR="0070097A" w:rsidRDefault="0070097A">
      <w:pPr>
        <w:jc w:val="both"/>
        <w:rPr>
          <w:rFonts w:ascii="Calibri" w:eastAsia="Calibri" w:hAnsi="Calibri" w:cs="Calibri"/>
          <w:sz w:val="22"/>
          <w:szCs w:val="22"/>
        </w:rPr>
      </w:pPr>
    </w:p>
    <w:p w14:paraId="2710FF75" w14:textId="77777777" w:rsidR="0070097A" w:rsidRDefault="001260E3">
      <w:pPr>
        <w:jc w:val="both"/>
        <w:rPr>
          <w:rFonts w:ascii="Calibri" w:eastAsia="Calibri" w:hAnsi="Calibri" w:cs="Calibri"/>
          <w:sz w:val="22"/>
          <w:szCs w:val="22"/>
        </w:rPr>
      </w:pPr>
      <w:r>
        <w:rPr>
          <w:rFonts w:ascii="Calibri" w:eastAsia="Calibri" w:hAnsi="Calibri" w:cs="Calibri"/>
          <w:sz w:val="22"/>
          <w:szCs w:val="22"/>
        </w:rPr>
        <w:t xml:space="preserve">Lietuvos jūrų muziejaus Kultūros komunikacijos ir rinkodaros skyriaus vedėja primena, kad jeigu pakrantėje pastebėjote ruonį, pirmiausia praneškite Bendrosios pagalbos centrui telefono numeriu 112. </w:t>
      </w:r>
    </w:p>
    <w:p w14:paraId="522504E4" w14:textId="77777777" w:rsidR="0070097A" w:rsidRDefault="0070097A">
      <w:pPr>
        <w:jc w:val="both"/>
        <w:rPr>
          <w:rFonts w:ascii="Calibri" w:eastAsia="Calibri" w:hAnsi="Calibri" w:cs="Calibri"/>
          <w:sz w:val="22"/>
          <w:szCs w:val="22"/>
        </w:rPr>
      </w:pPr>
    </w:p>
    <w:p w14:paraId="7139936A" w14:textId="77777777" w:rsidR="0070097A" w:rsidRDefault="001260E3">
      <w:pPr>
        <w:jc w:val="both"/>
        <w:rPr>
          <w:rFonts w:ascii="Calibri" w:eastAsia="Calibri" w:hAnsi="Calibri" w:cs="Calibri"/>
          <w:sz w:val="22"/>
          <w:szCs w:val="22"/>
        </w:rPr>
      </w:pPr>
      <w:r>
        <w:rPr>
          <w:rFonts w:ascii="Calibri" w:eastAsia="Calibri" w:hAnsi="Calibri" w:cs="Calibri"/>
          <w:sz w:val="22"/>
          <w:szCs w:val="22"/>
        </w:rPr>
        <w:t xml:space="preserve">„Jeigu paplūdimyje pamatėte ant kranto esantį ruonį, jokiu būdu jo nevarykite atgal į vandenį, nešerkite žinduolio ir nelieskite. Itin svarbu apsaugoti ruoniuką nuo šunų ir per daug smalsių žmonių. Leiskite jam ilsėtis ir sulaukite, kol atvyks pagalba. Nors šiemet jau esame radę 20 ruoniukų, tai gali būti toli gražu ne pabaiga“, – sako N. Puteikienė. </w:t>
      </w:r>
    </w:p>
    <w:p w14:paraId="48D93BA0" w14:textId="77777777" w:rsidR="0070097A" w:rsidRDefault="0070097A">
      <w:pPr>
        <w:jc w:val="both"/>
        <w:rPr>
          <w:rFonts w:ascii="Calibri" w:eastAsia="Calibri" w:hAnsi="Calibri" w:cs="Calibri"/>
          <w:b/>
          <w:sz w:val="22"/>
          <w:szCs w:val="22"/>
        </w:rPr>
      </w:pPr>
    </w:p>
    <w:p w14:paraId="50D1352D" w14:textId="77777777" w:rsidR="0070097A" w:rsidRDefault="001260E3">
      <w:pPr>
        <w:jc w:val="both"/>
        <w:rPr>
          <w:rFonts w:ascii="Calibri" w:eastAsia="Calibri" w:hAnsi="Calibri" w:cs="Calibri"/>
          <w:b/>
          <w:sz w:val="22"/>
          <w:szCs w:val="22"/>
        </w:rPr>
      </w:pPr>
      <w:r>
        <w:rPr>
          <w:rFonts w:ascii="Calibri" w:eastAsia="Calibri" w:hAnsi="Calibri" w:cs="Calibri"/>
          <w:b/>
          <w:sz w:val="22"/>
          <w:szCs w:val="22"/>
        </w:rPr>
        <w:lastRenderedPageBreak/>
        <w:t>Suteiks unikalius vardus</w:t>
      </w:r>
    </w:p>
    <w:p w14:paraId="04F1E734" w14:textId="77777777" w:rsidR="0070097A" w:rsidRDefault="0070097A">
      <w:pPr>
        <w:jc w:val="both"/>
        <w:rPr>
          <w:rFonts w:ascii="Calibri" w:eastAsia="Calibri" w:hAnsi="Calibri" w:cs="Calibri"/>
          <w:b/>
          <w:sz w:val="22"/>
          <w:szCs w:val="22"/>
        </w:rPr>
      </w:pPr>
    </w:p>
    <w:p w14:paraId="4F3F5FED" w14:textId="77777777" w:rsidR="0070097A" w:rsidRDefault="001260E3">
      <w:pPr>
        <w:jc w:val="both"/>
        <w:rPr>
          <w:rFonts w:ascii="Calibri" w:eastAsia="Calibri" w:hAnsi="Calibri" w:cs="Calibri"/>
          <w:sz w:val="22"/>
          <w:szCs w:val="22"/>
        </w:rPr>
      </w:pPr>
      <w:r>
        <w:rPr>
          <w:rFonts w:ascii="Calibri" w:eastAsia="Calibri" w:hAnsi="Calibri" w:cs="Calibri"/>
          <w:sz w:val="22"/>
          <w:szCs w:val="22"/>
        </w:rPr>
        <w:t>Anot pašnekovės, 2022 m. Lietuvos Respublikos Seimo yra paskelbti Gyvūnų gerovės metais, todėl Baltijos pilkųjų ruonių jaunikliams bus skiriamas ypatingas dėmesys, taip pat bus rengiamas specialus su augalų bioįvairove Lietuvoje susijęs konkursas, kurio metu ruoniukams bus išrinkti unikalūs vardai.</w:t>
      </w:r>
    </w:p>
    <w:p w14:paraId="4D4FDD1D" w14:textId="77777777" w:rsidR="0070097A" w:rsidRDefault="0070097A">
      <w:pPr>
        <w:jc w:val="both"/>
        <w:rPr>
          <w:rFonts w:ascii="Calibri" w:eastAsia="Calibri" w:hAnsi="Calibri" w:cs="Calibri"/>
          <w:sz w:val="22"/>
          <w:szCs w:val="22"/>
        </w:rPr>
      </w:pPr>
    </w:p>
    <w:p w14:paraId="0BE28F75" w14:textId="77777777" w:rsidR="0070097A" w:rsidRDefault="001260E3">
      <w:pPr>
        <w:jc w:val="both"/>
        <w:rPr>
          <w:rFonts w:ascii="Calibri" w:eastAsia="Calibri" w:hAnsi="Calibri" w:cs="Calibri"/>
          <w:sz w:val="22"/>
          <w:szCs w:val="22"/>
        </w:rPr>
      </w:pPr>
      <w:r>
        <w:rPr>
          <w:rFonts w:ascii="Calibri" w:eastAsia="Calibri" w:hAnsi="Calibri" w:cs="Calibri"/>
          <w:sz w:val="22"/>
          <w:szCs w:val="22"/>
        </w:rPr>
        <w:t>„Iki šiol pajūryje rasti ir gydymui į muziejų atvežti ruoniukai buvo vadinami pagal vietovę, kur jie buvo rasti. Pradėjus vietovardžiams kartotis, imta taikyti kitus metodus, o ilgainiui – rengti vardų konkursus etnografiniuose Lietuvos regionuose. Startas buvo duotas prieš dvejus metus Žemaitijoje, o pernai jis vyko Aukštaitijoje. Šiemet Valstybinės saugomų teritorijų tarnybos siūlymu moksleiviai rinks ruoniukams vardus iš saugomų Lietuvos augalų pavadinimų. Tokiu būdu vaikai daugiau sužinos ne tik apie ruoniukus ir jiems gresiančius pavojus, bet ir susipažins su retais ir nykstančiais augalais“, – teigia specialistė.</w:t>
      </w:r>
    </w:p>
    <w:p w14:paraId="0DA640E4" w14:textId="77777777" w:rsidR="0070097A" w:rsidRDefault="0070097A">
      <w:pPr>
        <w:jc w:val="both"/>
        <w:rPr>
          <w:rFonts w:ascii="Calibri" w:eastAsia="Calibri" w:hAnsi="Calibri" w:cs="Calibri"/>
          <w:sz w:val="22"/>
          <w:szCs w:val="22"/>
        </w:rPr>
      </w:pPr>
    </w:p>
    <w:p w14:paraId="3E1425F2" w14:textId="7307F443" w:rsidR="0070097A" w:rsidRDefault="001260E3">
      <w:pPr>
        <w:jc w:val="both"/>
        <w:rPr>
          <w:rFonts w:ascii="Calibri" w:eastAsia="Calibri" w:hAnsi="Calibri" w:cs="Calibri"/>
          <w:sz w:val="22"/>
          <w:szCs w:val="22"/>
        </w:rPr>
      </w:pPr>
      <w:r>
        <w:rPr>
          <w:rFonts w:ascii="Calibri" w:eastAsia="Calibri" w:hAnsi="Calibri" w:cs="Calibri"/>
          <w:sz w:val="22"/>
          <w:szCs w:val="22"/>
        </w:rPr>
        <w:t xml:space="preserve">Siūlyti vardus, tinkamus ruoniukams, galima iki balandžio 30 d. Vienas žmogus gali siūlyti du vardus – patelei ir patinėliui. Vardus galima siųsti elektroniniu paštu </w:t>
      </w:r>
      <w:proofErr w:type="spellStart"/>
      <w:r>
        <w:rPr>
          <w:rFonts w:ascii="Calibri" w:eastAsia="Calibri" w:hAnsi="Calibri" w:cs="Calibri"/>
          <w:sz w:val="22"/>
          <w:szCs w:val="22"/>
        </w:rPr>
        <w:t>lankytojucentras@vstt.lt</w:t>
      </w:r>
      <w:proofErr w:type="spellEnd"/>
      <w:r>
        <w:rPr>
          <w:rFonts w:ascii="Calibri" w:eastAsia="Calibri" w:hAnsi="Calibri" w:cs="Calibri"/>
          <w:sz w:val="22"/>
          <w:szCs w:val="22"/>
        </w:rPr>
        <w:t>, nurodant savo vardą</w:t>
      </w:r>
      <w:r w:rsidR="00EF3E96">
        <w:rPr>
          <w:rFonts w:ascii="Calibri" w:eastAsia="Calibri" w:hAnsi="Calibri" w:cs="Calibri"/>
          <w:sz w:val="22"/>
          <w:szCs w:val="22"/>
        </w:rPr>
        <w:t>,</w:t>
      </w:r>
      <w:r>
        <w:rPr>
          <w:rFonts w:ascii="Calibri" w:eastAsia="Calibri" w:hAnsi="Calibri" w:cs="Calibri"/>
          <w:sz w:val="22"/>
          <w:szCs w:val="22"/>
        </w:rPr>
        <w:t xml:space="preserve"> pavardę, telefono numerį. Vardai ruoniukams bus suteikti gegužės mėnesį.</w:t>
      </w:r>
    </w:p>
    <w:p w14:paraId="26009AD2" w14:textId="77777777" w:rsidR="0070097A" w:rsidRDefault="001260E3">
      <w:pPr>
        <w:jc w:val="both"/>
        <w:rPr>
          <w:rFonts w:ascii="Calibri" w:eastAsia="Calibri" w:hAnsi="Calibri" w:cs="Calibri"/>
          <w:b/>
          <w:sz w:val="22"/>
          <w:szCs w:val="22"/>
        </w:rPr>
      </w:pPr>
      <w:r>
        <w:rPr>
          <w:rFonts w:ascii="Calibri" w:eastAsia="Calibri" w:hAnsi="Calibri" w:cs="Calibri"/>
          <w:b/>
          <w:sz w:val="22"/>
          <w:szCs w:val="22"/>
        </w:rPr>
        <w:t xml:space="preserve"> </w:t>
      </w:r>
    </w:p>
    <w:p w14:paraId="00401EF8" w14:textId="77777777" w:rsidR="0070097A" w:rsidRDefault="001260E3">
      <w:pPr>
        <w:jc w:val="both"/>
        <w:rPr>
          <w:rFonts w:ascii="Calibri" w:eastAsia="Calibri" w:hAnsi="Calibri" w:cs="Calibri"/>
          <w:b/>
          <w:sz w:val="22"/>
          <w:szCs w:val="22"/>
        </w:rPr>
      </w:pPr>
      <w:r>
        <w:rPr>
          <w:rFonts w:ascii="Calibri" w:eastAsia="Calibri" w:hAnsi="Calibri" w:cs="Calibri"/>
          <w:b/>
          <w:sz w:val="22"/>
          <w:szCs w:val="22"/>
        </w:rPr>
        <w:t>Maišeliai su ruoniuku – aplinkai draugiškas pasirinkimas</w:t>
      </w:r>
    </w:p>
    <w:p w14:paraId="36F0B7CE" w14:textId="77777777" w:rsidR="0070097A" w:rsidRDefault="0070097A">
      <w:pPr>
        <w:jc w:val="both"/>
        <w:rPr>
          <w:rFonts w:ascii="Calibri" w:eastAsia="Calibri" w:hAnsi="Calibri" w:cs="Calibri"/>
          <w:b/>
          <w:sz w:val="22"/>
          <w:szCs w:val="22"/>
        </w:rPr>
      </w:pPr>
    </w:p>
    <w:p w14:paraId="4BC83E04" w14:textId="1F3CB656" w:rsidR="0070097A" w:rsidRDefault="001260E3">
      <w:pPr>
        <w:jc w:val="both"/>
        <w:rPr>
          <w:rFonts w:ascii="Calibri" w:eastAsia="Calibri" w:hAnsi="Calibri" w:cs="Calibri"/>
          <w:sz w:val="22"/>
          <w:szCs w:val="22"/>
        </w:rPr>
      </w:pPr>
      <w:r>
        <w:rPr>
          <w:rFonts w:ascii="Calibri" w:eastAsia="Calibri" w:hAnsi="Calibri" w:cs="Calibri"/>
          <w:sz w:val="22"/>
          <w:szCs w:val="22"/>
        </w:rPr>
        <w:t>Prekybos tinklas primena, kad projektas „Duok ruoniukui penkis“ – „Lidl“ vykdomos plastiko strategijos dalis. Dar 2019 m. „Lidl Lietuva“ pristatė projektą „Banginio dydžio dėkui“ – jo metu prekybos tinklas atsisakė vienkartinių plastikinių pirkinių maišelių, taip siekiant pirkėjus paskatinti rinktis aplinkai draugiškesnes alternatyvas.</w:t>
      </w:r>
    </w:p>
    <w:p w14:paraId="5C00020F" w14:textId="77777777" w:rsidR="0070097A" w:rsidRDefault="0070097A">
      <w:pPr>
        <w:jc w:val="both"/>
        <w:rPr>
          <w:rFonts w:ascii="Calibri" w:eastAsia="Calibri" w:hAnsi="Calibri" w:cs="Calibri"/>
          <w:sz w:val="22"/>
          <w:szCs w:val="22"/>
        </w:rPr>
      </w:pPr>
    </w:p>
    <w:p w14:paraId="075BD4CA" w14:textId="395D231E" w:rsidR="0070097A" w:rsidRDefault="001260E3">
      <w:pPr>
        <w:jc w:val="both"/>
        <w:rPr>
          <w:rFonts w:ascii="Calibri" w:eastAsia="Calibri" w:hAnsi="Calibri" w:cs="Calibri"/>
          <w:sz w:val="22"/>
          <w:szCs w:val="22"/>
        </w:rPr>
      </w:pPr>
      <w:r>
        <w:rPr>
          <w:rFonts w:ascii="Calibri" w:eastAsia="Calibri" w:hAnsi="Calibri" w:cs="Calibri"/>
          <w:sz w:val="22"/>
          <w:szCs w:val="22"/>
        </w:rPr>
        <w:t>Daugkartinio naudojimo maišeliai su ant jų pavaizduotu ruoniuku yra pagaminti naudojant 50 proc. perdirbtų medžiagų, jų kaina siekia 0,3</w:t>
      </w:r>
      <w:r w:rsidR="005E0197">
        <w:rPr>
          <w:rFonts w:ascii="Calibri" w:eastAsia="Calibri" w:hAnsi="Calibri" w:cs="Calibri"/>
          <w:sz w:val="22"/>
          <w:szCs w:val="22"/>
        </w:rPr>
        <w:t>5</w:t>
      </w:r>
      <w:r>
        <w:rPr>
          <w:rFonts w:ascii="Calibri" w:eastAsia="Calibri" w:hAnsi="Calibri" w:cs="Calibri"/>
          <w:sz w:val="22"/>
          <w:szCs w:val="22"/>
        </w:rPr>
        <w:t xml:space="preserve"> euro, iš kurių 0,05 euro yra skiriama Baltijos jūros gyvūnų reabilitacijos centrui. Specialius projekto maišelius galima įsigyti visose „Lidl“ parduotuv</w:t>
      </w:r>
      <w:r w:rsidR="00EF3E96">
        <w:rPr>
          <w:rFonts w:ascii="Calibri" w:eastAsia="Calibri" w:hAnsi="Calibri" w:cs="Calibri"/>
          <w:sz w:val="22"/>
          <w:szCs w:val="22"/>
        </w:rPr>
        <w:t>ėse</w:t>
      </w:r>
      <w:r>
        <w:rPr>
          <w:rFonts w:ascii="Calibri" w:eastAsia="Calibri" w:hAnsi="Calibri" w:cs="Calibri"/>
          <w:sz w:val="22"/>
          <w:szCs w:val="22"/>
        </w:rPr>
        <w:t xml:space="preserve"> Lietuvoje.</w:t>
      </w:r>
    </w:p>
    <w:p w14:paraId="68FF0CF7" w14:textId="77777777" w:rsidR="0070097A" w:rsidRDefault="0070097A">
      <w:pPr>
        <w:jc w:val="both"/>
        <w:rPr>
          <w:rFonts w:ascii="Calibri" w:eastAsia="Calibri" w:hAnsi="Calibri" w:cs="Calibri"/>
          <w:sz w:val="22"/>
          <w:szCs w:val="22"/>
        </w:rPr>
      </w:pPr>
    </w:p>
    <w:p w14:paraId="1BA159CB" w14:textId="77777777" w:rsidR="0070097A" w:rsidRDefault="001260E3">
      <w:pPr>
        <w:rPr>
          <w:rFonts w:ascii="Calibri" w:eastAsia="Calibri" w:hAnsi="Calibri" w:cs="Calibri"/>
          <w:sz w:val="20"/>
          <w:szCs w:val="20"/>
        </w:rPr>
      </w:pPr>
      <w:r>
        <w:rPr>
          <w:rFonts w:ascii="Calibri" w:eastAsia="Calibri" w:hAnsi="Calibri" w:cs="Calibri"/>
          <w:b/>
          <w:sz w:val="20"/>
          <w:szCs w:val="20"/>
        </w:rPr>
        <w:t>Daugiau informacijos:</w:t>
      </w:r>
      <w:r>
        <w:rPr>
          <w:rFonts w:ascii="Calibri" w:eastAsia="Calibri" w:hAnsi="Calibri" w:cs="Calibri"/>
          <w:sz w:val="20"/>
          <w:szCs w:val="20"/>
        </w:rPr>
        <w:br/>
        <w:t>Lina Skersytė</w:t>
      </w:r>
      <w:r>
        <w:rPr>
          <w:rFonts w:ascii="Calibri" w:eastAsia="Calibri" w:hAnsi="Calibri" w:cs="Calibri"/>
          <w:sz w:val="20"/>
          <w:szCs w:val="20"/>
        </w:rPr>
        <w:br/>
        <w:t>Korporatyvinių reikalų ir komunikacijos departamentas</w:t>
      </w:r>
      <w:r>
        <w:rPr>
          <w:rFonts w:ascii="Calibri" w:eastAsia="Calibri" w:hAnsi="Calibri" w:cs="Calibri"/>
          <w:sz w:val="20"/>
          <w:szCs w:val="20"/>
        </w:rPr>
        <w:br/>
        <w:t>UAB „Lidl Lietuva“ </w:t>
      </w:r>
      <w:r>
        <w:rPr>
          <w:rFonts w:ascii="Calibri" w:eastAsia="Calibri" w:hAnsi="Calibri" w:cs="Calibri"/>
          <w:sz w:val="20"/>
          <w:szCs w:val="20"/>
        </w:rPr>
        <w:br/>
        <w:t>Tel. +370 5 267 3228, mob. tel. +370 680 53556</w:t>
      </w:r>
      <w:r>
        <w:rPr>
          <w:rFonts w:ascii="Calibri" w:eastAsia="Calibri" w:hAnsi="Calibri" w:cs="Calibri"/>
          <w:sz w:val="20"/>
          <w:szCs w:val="20"/>
        </w:rPr>
        <w:br/>
      </w:r>
      <w:hyperlink r:id="rId7">
        <w:r>
          <w:rPr>
            <w:rFonts w:ascii="Calibri" w:eastAsia="Calibri" w:hAnsi="Calibri" w:cs="Calibri"/>
            <w:color w:val="0000FF"/>
            <w:sz w:val="20"/>
            <w:szCs w:val="20"/>
            <w:u w:val="single"/>
          </w:rPr>
          <w:t>lina.skersyte@lidl.lt</w:t>
        </w:r>
      </w:hyperlink>
      <w:r>
        <w:rPr>
          <w:rFonts w:ascii="Calibri" w:eastAsia="Calibri" w:hAnsi="Calibri" w:cs="Calibri"/>
          <w:sz w:val="20"/>
          <w:szCs w:val="20"/>
        </w:rPr>
        <w:t xml:space="preserve"> </w:t>
      </w:r>
    </w:p>
    <w:p w14:paraId="17FE701B" w14:textId="77777777" w:rsidR="0070097A" w:rsidRDefault="0070097A">
      <w:pPr>
        <w:rPr>
          <w:rFonts w:ascii="Calibri" w:eastAsia="Calibri" w:hAnsi="Calibri" w:cs="Calibri"/>
          <w:sz w:val="20"/>
          <w:szCs w:val="20"/>
        </w:rPr>
      </w:pPr>
    </w:p>
    <w:sectPr w:rsidR="0070097A">
      <w:headerReference w:type="even" r:id="rId8"/>
      <w:headerReference w:type="default" r:id="rId9"/>
      <w:footerReference w:type="default" r:id="rId10"/>
      <w:headerReference w:type="first" r:id="rId11"/>
      <w:footerReference w:type="first" r:id="rId12"/>
      <w:pgSz w:w="11900" w:h="16840"/>
      <w:pgMar w:top="720" w:right="720" w:bottom="2552" w:left="720" w:header="425"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426952" w14:textId="77777777" w:rsidR="00FB1913" w:rsidRDefault="001260E3">
      <w:r>
        <w:separator/>
      </w:r>
    </w:p>
  </w:endnote>
  <w:endnote w:type="continuationSeparator" w:id="0">
    <w:p w14:paraId="49FD9564" w14:textId="77777777" w:rsidR="00FB1913" w:rsidRDefault="001260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imes-Roman">
    <w:panose1 w:val="00000000000000000000"/>
    <w:charset w:val="00"/>
    <w:family w:val="roman"/>
    <w:notTrueType/>
    <w:pitch w:val="default"/>
  </w:font>
  <w:font w:name="Segoe UI">
    <w:panose1 w:val="020B0502040204020203"/>
    <w:charset w:val="BA"/>
    <w:family w:val="swiss"/>
    <w:pitch w:val="variable"/>
    <w:sig w:usb0="E4002EFF" w:usb1="C000E47F" w:usb2="00000009" w:usb3="00000000" w:csb0="000001FF" w:csb1="00000000"/>
  </w:font>
  <w:font w:name="MinionPro-Regular">
    <w:panose1 w:val="00000000000000000000"/>
    <w:charset w:val="00"/>
    <w:family w:val="roman"/>
    <w:notTrueType/>
    <w:pitch w:val="default"/>
  </w:font>
  <w:font w:name="Calibri">
    <w:panose1 w:val="020F0502020204030204"/>
    <w:charset w:val="BA"/>
    <w:family w:val="swiss"/>
    <w:pitch w:val="variable"/>
    <w:sig w:usb0="E4002EFF" w:usb1="C000247B" w:usb2="00000009" w:usb3="00000000" w:csb0="000001FF" w:csb1="00000000"/>
  </w:font>
  <w:font w:name="Georgia">
    <w:panose1 w:val="02040502050405020303"/>
    <w:charset w:val="BA"/>
    <w:family w:val="roman"/>
    <w:pitch w:val="variable"/>
    <w:sig w:usb0="00000287" w:usb1="00000000" w:usb2="00000000" w:usb3="00000000" w:csb0="0000009F" w:csb1="00000000"/>
  </w:font>
  <w:font w:name="News Gothic Bd BT Reg">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780A24" w14:textId="77777777" w:rsidR="0070097A" w:rsidRDefault="001260E3">
    <w:pPr>
      <w:pBdr>
        <w:top w:val="nil"/>
        <w:left w:val="nil"/>
        <w:bottom w:val="nil"/>
        <w:right w:val="nil"/>
        <w:between w:val="nil"/>
      </w:pBdr>
      <w:tabs>
        <w:tab w:val="center" w:pos="4536"/>
        <w:tab w:val="right" w:pos="9072"/>
      </w:tabs>
      <w:ind w:right="360"/>
      <w:rPr>
        <w:color w:val="000000"/>
      </w:rPr>
    </w:pPr>
    <w:r>
      <w:rPr>
        <w:noProof/>
      </w:rPr>
      <mc:AlternateContent>
        <mc:Choice Requires="wps">
          <w:drawing>
            <wp:anchor distT="0" distB="0" distL="114300" distR="114300" simplePos="0" relativeHeight="251660288" behindDoc="0" locked="0" layoutInCell="1" hidden="0" allowOverlap="1" wp14:anchorId="184E7E21" wp14:editId="16497C2D">
              <wp:simplePos x="0" y="0"/>
              <wp:positionH relativeFrom="column">
                <wp:posOffset>-76199</wp:posOffset>
              </wp:positionH>
              <wp:positionV relativeFrom="paragraph">
                <wp:posOffset>-406399</wp:posOffset>
              </wp:positionV>
              <wp:extent cx="4225925" cy="606425"/>
              <wp:effectExtent l="0" t="0" r="0" b="0"/>
              <wp:wrapNone/>
              <wp:docPr id="26" name=""/>
              <wp:cNvGraphicFramePr/>
              <a:graphic xmlns:a="http://schemas.openxmlformats.org/drawingml/2006/main">
                <a:graphicData uri="http://schemas.microsoft.com/office/word/2010/wordprocessingShape">
                  <wps:wsp>
                    <wps:cNvSpPr/>
                    <wps:spPr>
                      <a:xfrm>
                        <a:off x="3237800" y="3481550"/>
                        <a:ext cx="4216400" cy="596900"/>
                      </a:xfrm>
                      <a:prstGeom prst="rect">
                        <a:avLst/>
                      </a:prstGeom>
                      <a:noFill/>
                      <a:ln>
                        <a:noFill/>
                      </a:ln>
                    </wps:spPr>
                    <wps:txbx>
                      <w:txbxContent>
                        <w:p w14:paraId="3D361E4F" w14:textId="77777777" w:rsidR="0070097A" w:rsidRDefault="001260E3">
                          <w:pPr>
                            <w:textDirection w:val="btLr"/>
                          </w:pPr>
                          <w:r>
                            <w:rPr>
                              <w:rFonts w:ascii="Calibri" w:eastAsia="Calibri" w:hAnsi="Calibri" w:cs="Calibri"/>
                              <w:b/>
                              <w:smallCaps/>
                              <w:color w:val="FFFFFF"/>
                              <w:sz w:val="48"/>
                            </w:rPr>
                            <w:t>INFORMACIJA ŽINIASKLAIDAI</w:t>
                          </w:r>
                        </w:p>
                      </w:txbxContent>
                    </wps:txbx>
                    <wps:bodyPr spcFirstLastPara="1" wrap="square" lIns="91425" tIns="91425" rIns="91425" bIns="91425" anchor="t" anchorCtr="0">
                      <a:noAutofit/>
                    </wps:bodyPr>
                  </wps:wsp>
                </a:graphicData>
              </a:graphic>
            </wp:anchor>
          </w:drawing>
        </mc:Choice>
        <mc:Fallback>
          <w:pict>
            <v:rect w14:anchorId="184E7E21" id="_x0000_s1026" style="position:absolute;margin-left:-6pt;margin-top:-32pt;width:332.75pt;height:47.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" filled="f" stroked="f">
              <v:textbox inset="2.53958mm,2.53958mm,2.53958mm,2.53958mm">
                <w:txbxContent>
                  <w:p w14:paraId="3D361E4F" w14:textId="77777777" w:rsidR="0070097A" w:rsidRDefault="001260E3">
                    <w:pPr>
                      <w:textDirection w:val="btLr"/>
                    </w:pPr>
                    <w:r>
                      <w:rPr>
                        <w:rFonts w:ascii="Calibri" w:eastAsia="Calibri" w:hAnsi="Calibri" w:cs="Calibri"/>
                        <w:b/>
                        <w:smallCaps/>
                        <w:color w:val="FFFFFF"/>
                        <w:sz w:val="48"/>
                      </w:rPr>
                      <w:t>INFORMACIJA ŽINIASKLAIDAI</w:t>
                    </w: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34A0DC" w14:textId="77777777" w:rsidR="0070097A" w:rsidRDefault="001260E3">
    <w:pPr>
      <w:pBdr>
        <w:top w:val="nil"/>
        <w:left w:val="nil"/>
        <w:bottom w:val="nil"/>
        <w:right w:val="nil"/>
        <w:between w:val="nil"/>
      </w:pBdr>
      <w:tabs>
        <w:tab w:val="center" w:pos="4536"/>
        <w:tab w:val="right" w:pos="9072"/>
        <w:tab w:val="left" w:pos="8535"/>
      </w:tabs>
      <w:rPr>
        <w:color w:val="000000"/>
      </w:rPr>
    </w:pPr>
    <w:r>
      <w:rPr>
        <w:color w:val="000000"/>
      </w:rPr>
      <w:tab/>
    </w:r>
    <w:r>
      <w:rPr>
        <w:noProof/>
      </w:rPr>
      <mc:AlternateContent>
        <mc:Choice Requires="wps">
          <w:drawing>
            <wp:anchor distT="0" distB="0" distL="114300" distR="114300" simplePos="0" relativeHeight="251661312" behindDoc="0" locked="0" layoutInCell="1" hidden="0" allowOverlap="1" wp14:anchorId="28202A25" wp14:editId="74FD8722">
              <wp:simplePos x="0" y="0"/>
              <wp:positionH relativeFrom="column">
                <wp:posOffset>-88899</wp:posOffset>
              </wp:positionH>
              <wp:positionV relativeFrom="paragraph">
                <wp:posOffset>-469899</wp:posOffset>
              </wp:positionV>
              <wp:extent cx="4225925" cy="606425"/>
              <wp:effectExtent l="0" t="0" r="0" b="0"/>
              <wp:wrapNone/>
              <wp:docPr id="27" name=""/>
              <wp:cNvGraphicFramePr/>
              <a:graphic xmlns:a="http://schemas.openxmlformats.org/drawingml/2006/main">
                <a:graphicData uri="http://schemas.microsoft.com/office/word/2010/wordprocessingShape">
                  <wps:wsp>
                    <wps:cNvSpPr/>
                    <wps:spPr>
                      <a:xfrm>
                        <a:off x="3237800" y="3481550"/>
                        <a:ext cx="4216400" cy="596900"/>
                      </a:xfrm>
                      <a:prstGeom prst="rect">
                        <a:avLst/>
                      </a:prstGeom>
                      <a:noFill/>
                      <a:ln>
                        <a:noFill/>
                      </a:ln>
                    </wps:spPr>
                    <wps:txbx>
                      <w:txbxContent>
                        <w:p w14:paraId="034A38E5" w14:textId="77777777" w:rsidR="0070097A" w:rsidRDefault="001260E3">
                          <w:pPr>
                            <w:textDirection w:val="btLr"/>
                          </w:pPr>
                          <w:r>
                            <w:rPr>
                              <w:rFonts w:ascii="Calibri" w:eastAsia="Calibri" w:hAnsi="Calibri" w:cs="Calibri"/>
                              <w:b/>
                              <w:smallCaps/>
                              <w:color w:val="FFFFFF"/>
                              <w:sz w:val="48"/>
                            </w:rPr>
                            <w:t>INFORMACIJA ŽINIASKLAIDAI</w:t>
                          </w:r>
                        </w:p>
                      </w:txbxContent>
                    </wps:txbx>
                    <wps:bodyPr spcFirstLastPara="1" wrap="square" lIns="91425" tIns="91425" rIns="91425" bIns="91425" anchor="t" anchorCtr="0">
                      <a:noAutofit/>
                    </wps:bodyPr>
                  </wps:wsp>
                </a:graphicData>
              </a:graphic>
            </wp:anchor>
          </w:drawing>
        </mc:Choice>
        <mc:Fallback>
          <w:pict>
            <v:rect w14:anchorId="28202A25" id="_x0000_s1027" style="position:absolute;margin-left:-7pt;margin-top:-37pt;width:332.75pt;height:47.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" filled="f" stroked="f">
              <v:textbox inset="2.53958mm,2.53958mm,2.53958mm,2.53958mm">
                <w:txbxContent>
                  <w:p w14:paraId="034A38E5" w14:textId="77777777" w:rsidR="0070097A" w:rsidRDefault="001260E3">
                    <w:pPr>
                      <w:textDirection w:val="btLr"/>
                    </w:pPr>
                    <w:r>
                      <w:rPr>
                        <w:rFonts w:ascii="Calibri" w:eastAsia="Calibri" w:hAnsi="Calibri" w:cs="Calibri"/>
                        <w:b/>
                        <w:smallCaps/>
                        <w:color w:val="FFFFFF"/>
                        <w:sz w:val="48"/>
                      </w:rPr>
                      <w:t>INFORMACIJA ŽINIASKLAIDAI</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D222A5" w14:textId="77777777" w:rsidR="00FB1913" w:rsidRDefault="001260E3">
      <w:r>
        <w:separator/>
      </w:r>
    </w:p>
  </w:footnote>
  <w:footnote w:type="continuationSeparator" w:id="0">
    <w:p w14:paraId="26E5DAF1" w14:textId="77777777" w:rsidR="00FB1913" w:rsidRDefault="001260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22F1E1" w14:textId="77777777" w:rsidR="0070097A" w:rsidRDefault="001260E3">
    <w:pPr>
      <w:rPr>
        <w:rFonts w:ascii="News Gothic Bd BT Reg" w:eastAsia="News Gothic Bd BT Reg" w:hAnsi="News Gothic Bd BT Reg" w:cs="News Gothic Bd BT Reg"/>
      </w:rPr>
    </w:pPr>
    <w:r>
      <w:rPr>
        <w:rFonts w:ascii="News Gothic Bd BT Reg" w:eastAsia="News Gothic Bd BT Reg" w:hAnsi="News Gothic Bd BT Reg" w:cs="News Gothic Bd BT Reg"/>
      </w:rPr>
      <w:t>www.</w:t>
    </w:r>
  </w:p>
  <w:p w14:paraId="04A61225" w14:textId="77777777" w:rsidR="0070097A" w:rsidRDefault="0070097A">
    <w:pPr>
      <w:pBdr>
        <w:top w:val="nil"/>
        <w:left w:val="nil"/>
        <w:bottom w:val="nil"/>
        <w:right w:val="nil"/>
        <w:between w:val="nil"/>
      </w:pBdr>
      <w:tabs>
        <w:tab w:val="center" w:pos="4536"/>
        <w:tab w:val="right" w:pos="9072"/>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99293A" w14:textId="77777777" w:rsidR="0070097A" w:rsidRDefault="001260E3">
    <w:pPr>
      <w:pBdr>
        <w:top w:val="nil"/>
        <w:left w:val="nil"/>
        <w:bottom w:val="nil"/>
        <w:right w:val="nil"/>
        <w:between w:val="nil"/>
      </w:pBdr>
      <w:tabs>
        <w:tab w:val="center" w:pos="4536"/>
        <w:tab w:val="right" w:pos="9072"/>
      </w:tabs>
      <w:rPr>
        <w:color w:val="000000"/>
      </w:rPr>
    </w:pPr>
    <w:r>
      <w:rPr>
        <w:noProof/>
        <w:color w:val="000000"/>
        <w:vertAlign w:val="subscript"/>
      </w:rPr>
      <w:drawing>
        <wp:anchor distT="0" distB="0" distL="0" distR="0" simplePos="0" relativeHeight="251658240" behindDoc="1" locked="0" layoutInCell="1" hidden="0" allowOverlap="1" wp14:anchorId="765EF6E5" wp14:editId="3432B4CA">
          <wp:simplePos x="0" y="0"/>
          <wp:positionH relativeFrom="page">
            <wp:align>left</wp:align>
          </wp:positionH>
          <wp:positionV relativeFrom="page">
            <wp:posOffset>40640</wp:posOffset>
          </wp:positionV>
          <wp:extent cx="7559040" cy="10689336"/>
          <wp:effectExtent l="0" t="0" r="0" b="0"/>
          <wp:wrapNone/>
          <wp:docPr id="29" name="image1.jpg" descr="Higru"/>
          <wp:cNvGraphicFramePr/>
          <a:graphic xmlns:a="http://schemas.openxmlformats.org/drawingml/2006/main">
            <a:graphicData uri="http://schemas.openxmlformats.org/drawingml/2006/picture">
              <pic:pic xmlns:pic="http://schemas.openxmlformats.org/drawingml/2006/picture">
                <pic:nvPicPr>
                  <pic:cNvPr id="0" name="image1.jpg" descr="Higru"/>
                  <pic:cNvPicPr preferRelativeResize="0"/>
                </pic:nvPicPr>
                <pic:blipFill>
                  <a:blip r:embed="rId1"/>
                  <a:srcRect/>
                  <a:stretch>
                    <a:fillRect/>
                  </a:stretch>
                </pic:blipFill>
                <pic:spPr>
                  <a:xfrm>
                    <a:off x="0" y="0"/>
                    <a:ext cx="7559040" cy="10689336"/>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9FFB57" w14:textId="77777777" w:rsidR="0070097A" w:rsidRDefault="001260E3">
    <w:pPr>
      <w:pBdr>
        <w:top w:val="nil"/>
        <w:left w:val="nil"/>
        <w:bottom w:val="nil"/>
        <w:right w:val="nil"/>
        <w:between w:val="nil"/>
      </w:pBdr>
      <w:tabs>
        <w:tab w:val="center" w:pos="4536"/>
        <w:tab w:val="right" w:pos="9072"/>
      </w:tabs>
      <w:rPr>
        <w:color w:val="000000"/>
        <w:vertAlign w:val="subscript"/>
      </w:rPr>
    </w:pPr>
    <w:r>
      <w:rPr>
        <w:noProof/>
        <w:color w:val="000000"/>
        <w:vertAlign w:val="subscript"/>
      </w:rPr>
      <w:drawing>
        <wp:anchor distT="0" distB="0" distL="0" distR="0" simplePos="0" relativeHeight="251659264" behindDoc="1" locked="0" layoutInCell="1" hidden="0" allowOverlap="1" wp14:anchorId="1C2D8911" wp14:editId="19F005EE">
          <wp:simplePos x="0" y="0"/>
          <wp:positionH relativeFrom="page">
            <wp:posOffset>0</wp:posOffset>
          </wp:positionH>
          <wp:positionV relativeFrom="page">
            <wp:posOffset>3937</wp:posOffset>
          </wp:positionV>
          <wp:extent cx="7559040" cy="10689336"/>
          <wp:effectExtent l="0" t="0" r="0" b="0"/>
          <wp:wrapNone/>
          <wp:docPr id="28" name="image1.jpg" descr="Higru"/>
          <wp:cNvGraphicFramePr/>
          <a:graphic xmlns:a="http://schemas.openxmlformats.org/drawingml/2006/main">
            <a:graphicData uri="http://schemas.openxmlformats.org/drawingml/2006/picture">
              <pic:pic xmlns:pic="http://schemas.openxmlformats.org/drawingml/2006/picture">
                <pic:nvPicPr>
                  <pic:cNvPr id="0" name="image1.jpg" descr="Higru"/>
                  <pic:cNvPicPr preferRelativeResize="0"/>
                </pic:nvPicPr>
                <pic:blipFill>
                  <a:blip r:embed="rId1"/>
                  <a:srcRect/>
                  <a:stretch>
                    <a:fillRect/>
                  </a:stretch>
                </pic:blipFill>
                <pic:spPr>
                  <a:xfrm>
                    <a:off x="0" y="0"/>
                    <a:ext cx="7559040" cy="10689336"/>
                  </a:xfrm>
                  <a:prstGeom prst="rect">
                    <a:avLst/>
                  </a:prstGeom>
                  <a:ln/>
                </pic:spPr>
              </pic:pic>
            </a:graphicData>
          </a:graphic>
        </wp:anchor>
      </w:drawing>
    </w:r>
    <w:r>
      <w:rPr>
        <w:color w:val="000000"/>
        <w:vertAlign w:val="subscript"/>
      </w:rPr>
      <w:tab/>
    </w:r>
    <w:r>
      <w:rPr>
        <w:color w:val="000000"/>
        <w:vertAlign w:val="subscript"/>
      </w:rPr>
      <w:tab/>
    </w:r>
    <w:r>
      <w:rPr>
        <w:color w:val="000000"/>
        <w:vertAlign w:val="subscript"/>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97A"/>
    <w:rsid w:val="001260E3"/>
    <w:rsid w:val="005E0197"/>
    <w:rsid w:val="0070097A"/>
    <w:rsid w:val="00B36493"/>
    <w:rsid w:val="00CD6AD2"/>
    <w:rsid w:val="00DF26E5"/>
    <w:rsid w:val="00EF3E96"/>
    <w:rsid w:val="00FB19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21181"/>
  <w15:docId w15:val="{A14455B9-D037-4EF6-BA4B-14EDCF9B9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lt-L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7A62"/>
  </w:style>
  <w:style w:type="paragraph" w:styleId="Heading1">
    <w:name w:val="heading 1"/>
    <w:basedOn w:val="Normal"/>
    <w:next w:val="Normal"/>
    <w:link w:val="Heading1Char"/>
    <w:uiPriority w:val="9"/>
    <w:qFormat/>
    <w:rsid w:val="00A27A62"/>
    <w:pPr>
      <w:keepNext/>
      <w:spacing w:after="120"/>
      <w:jc w:val="both"/>
      <w:outlineLvl w:val="0"/>
    </w:pPr>
    <w:rPr>
      <w:rFonts w:ascii="Arial" w:hAnsi="Arial"/>
      <w:b/>
      <w:sz w:val="28"/>
      <w:szCs w:val="28"/>
      <w:lang w:val="fr-FR"/>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link w:val="Heading3Char"/>
    <w:uiPriority w:val="9"/>
    <w:semiHidden/>
    <w:unhideWhenUsed/>
    <w:qFormat/>
    <w:rsid w:val="005C3D4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rsid w:val="00C827A1"/>
    <w:pPr>
      <w:tabs>
        <w:tab w:val="center" w:pos="4536"/>
        <w:tab w:val="right" w:pos="9072"/>
      </w:tabs>
    </w:pPr>
  </w:style>
  <w:style w:type="paragraph" w:styleId="Footer">
    <w:name w:val="footer"/>
    <w:basedOn w:val="Normal"/>
    <w:semiHidden/>
    <w:rsid w:val="00C827A1"/>
    <w:pPr>
      <w:tabs>
        <w:tab w:val="center" w:pos="4536"/>
        <w:tab w:val="right" w:pos="9072"/>
      </w:tabs>
    </w:pPr>
  </w:style>
  <w:style w:type="paragraph" w:customStyle="1" w:styleId="EinfacherAbsatz">
    <w:name w:val="[Einfacher Absatz]"/>
    <w:basedOn w:val="Normal"/>
    <w:rsid w:val="0088350E"/>
    <w:pPr>
      <w:widowControl w:val="0"/>
      <w:autoSpaceDE w:val="0"/>
      <w:autoSpaceDN w:val="0"/>
      <w:adjustRightInd w:val="0"/>
      <w:spacing w:line="288" w:lineRule="auto"/>
      <w:textAlignment w:val="center"/>
    </w:pPr>
    <w:rPr>
      <w:rFonts w:ascii="Times-Roman" w:hAnsi="Times-Roman"/>
      <w:color w:val="000000"/>
    </w:rPr>
  </w:style>
  <w:style w:type="character" w:styleId="PageNumber">
    <w:name w:val="page number"/>
    <w:basedOn w:val="DefaultParagraphFont"/>
    <w:rsid w:val="00BF3626"/>
  </w:style>
  <w:style w:type="character" w:customStyle="1" w:styleId="Heading1Char">
    <w:name w:val="Heading 1 Char"/>
    <w:basedOn w:val="DefaultParagraphFont"/>
    <w:link w:val="Heading1"/>
    <w:rsid w:val="00C43D66"/>
    <w:rPr>
      <w:rFonts w:ascii="Arial" w:hAnsi="Arial"/>
      <w:b/>
      <w:sz w:val="28"/>
      <w:szCs w:val="28"/>
      <w:lang w:val="fr-FR"/>
    </w:rPr>
  </w:style>
  <w:style w:type="paragraph" w:styleId="ListParagraph">
    <w:name w:val="List Paragraph"/>
    <w:basedOn w:val="Normal"/>
    <w:uiPriority w:val="34"/>
    <w:qFormat/>
    <w:rsid w:val="00B44AEE"/>
    <w:pPr>
      <w:ind w:left="720"/>
      <w:contextualSpacing/>
    </w:pPr>
  </w:style>
  <w:style w:type="character" w:styleId="Hyperlink">
    <w:name w:val="Hyperlink"/>
    <w:basedOn w:val="DefaultParagraphFont"/>
    <w:rsid w:val="008B7297"/>
    <w:rPr>
      <w:color w:val="0000FF" w:themeColor="hyperlink"/>
      <w:u w:val="single"/>
    </w:rPr>
  </w:style>
  <w:style w:type="paragraph" w:styleId="NormalWeb">
    <w:name w:val="Normal (Web)"/>
    <w:basedOn w:val="Normal"/>
    <w:rsid w:val="00AB5D5F"/>
    <w:pPr>
      <w:spacing w:before="100" w:beforeAutospacing="1" w:after="100" w:afterAutospacing="1"/>
    </w:pPr>
    <w:rPr>
      <w:lang w:eastAsia="lt-LT"/>
    </w:rPr>
  </w:style>
  <w:style w:type="character" w:styleId="CommentReference">
    <w:name w:val="annotation reference"/>
    <w:basedOn w:val="DefaultParagraphFont"/>
    <w:uiPriority w:val="99"/>
    <w:semiHidden/>
    <w:unhideWhenUsed/>
    <w:rsid w:val="000244F4"/>
    <w:rPr>
      <w:sz w:val="16"/>
      <w:szCs w:val="16"/>
    </w:rPr>
  </w:style>
  <w:style w:type="paragraph" w:styleId="CommentText">
    <w:name w:val="annotation text"/>
    <w:basedOn w:val="Normal"/>
    <w:link w:val="CommentTextChar"/>
    <w:uiPriority w:val="99"/>
    <w:semiHidden/>
    <w:unhideWhenUsed/>
    <w:rsid w:val="000244F4"/>
    <w:rPr>
      <w:sz w:val="20"/>
      <w:szCs w:val="20"/>
    </w:rPr>
  </w:style>
  <w:style w:type="character" w:customStyle="1" w:styleId="CommentTextChar">
    <w:name w:val="Comment Text Char"/>
    <w:basedOn w:val="DefaultParagraphFont"/>
    <w:link w:val="CommentText"/>
    <w:uiPriority w:val="99"/>
    <w:semiHidden/>
    <w:rsid w:val="000244F4"/>
    <w:rPr>
      <w:sz w:val="20"/>
      <w:szCs w:val="20"/>
    </w:rPr>
  </w:style>
  <w:style w:type="paragraph" w:styleId="CommentSubject">
    <w:name w:val="annotation subject"/>
    <w:basedOn w:val="CommentText"/>
    <w:next w:val="CommentText"/>
    <w:link w:val="CommentSubjectChar"/>
    <w:semiHidden/>
    <w:unhideWhenUsed/>
    <w:rsid w:val="000244F4"/>
    <w:rPr>
      <w:b/>
      <w:bCs/>
    </w:rPr>
  </w:style>
  <w:style w:type="character" w:customStyle="1" w:styleId="CommentSubjectChar">
    <w:name w:val="Comment Subject Char"/>
    <w:basedOn w:val="CommentTextChar"/>
    <w:link w:val="CommentSubject"/>
    <w:semiHidden/>
    <w:rsid w:val="000244F4"/>
    <w:rPr>
      <w:b/>
      <w:bCs/>
      <w:sz w:val="20"/>
      <w:szCs w:val="20"/>
    </w:rPr>
  </w:style>
  <w:style w:type="paragraph" w:styleId="BalloonText">
    <w:name w:val="Balloon Text"/>
    <w:basedOn w:val="Normal"/>
    <w:link w:val="BalloonTextChar"/>
    <w:semiHidden/>
    <w:unhideWhenUsed/>
    <w:rsid w:val="000244F4"/>
    <w:rPr>
      <w:rFonts w:ascii="Segoe UI" w:hAnsi="Segoe UI" w:cs="Segoe UI"/>
      <w:sz w:val="18"/>
      <w:szCs w:val="18"/>
    </w:rPr>
  </w:style>
  <w:style w:type="character" w:customStyle="1" w:styleId="BalloonTextChar">
    <w:name w:val="Balloon Text Char"/>
    <w:basedOn w:val="DefaultParagraphFont"/>
    <w:link w:val="BalloonText"/>
    <w:semiHidden/>
    <w:rsid w:val="000244F4"/>
    <w:rPr>
      <w:rFonts w:ascii="Segoe UI" w:hAnsi="Segoe UI" w:cs="Segoe UI"/>
      <w:sz w:val="18"/>
      <w:szCs w:val="18"/>
    </w:rPr>
  </w:style>
  <w:style w:type="paragraph" w:customStyle="1" w:styleId="EinfAbs">
    <w:name w:val="[Einf. Abs.]"/>
    <w:basedOn w:val="Normal"/>
    <w:uiPriority w:val="99"/>
    <w:rsid w:val="003D7429"/>
    <w:pPr>
      <w:widowControl w:val="0"/>
      <w:autoSpaceDE w:val="0"/>
      <w:autoSpaceDN w:val="0"/>
      <w:adjustRightInd w:val="0"/>
      <w:spacing w:line="288" w:lineRule="auto"/>
      <w:textAlignment w:val="center"/>
    </w:pPr>
    <w:rPr>
      <w:rFonts w:ascii="MinionPro-Regular" w:eastAsia="Calibri" w:hAnsi="MinionPro-Regular" w:cs="MinionPro-Regular"/>
      <w:color w:val="000000"/>
    </w:rPr>
  </w:style>
  <w:style w:type="character" w:styleId="Strong">
    <w:name w:val="Strong"/>
    <w:basedOn w:val="DefaultParagraphFont"/>
    <w:uiPriority w:val="22"/>
    <w:qFormat/>
    <w:rsid w:val="006911C8"/>
    <w:rPr>
      <w:b/>
      <w:bCs/>
    </w:rPr>
  </w:style>
  <w:style w:type="character" w:customStyle="1" w:styleId="UnresolvedMention1">
    <w:name w:val="Unresolved Mention1"/>
    <w:basedOn w:val="DefaultParagraphFont"/>
    <w:uiPriority w:val="99"/>
    <w:semiHidden/>
    <w:unhideWhenUsed/>
    <w:rsid w:val="0018531F"/>
    <w:rPr>
      <w:color w:val="605E5C"/>
      <w:shd w:val="clear" w:color="auto" w:fill="E1DFDD"/>
    </w:rPr>
  </w:style>
  <w:style w:type="character" w:styleId="Emphasis">
    <w:name w:val="Emphasis"/>
    <w:basedOn w:val="DefaultParagraphFont"/>
    <w:uiPriority w:val="20"/>
    <w:qFormat/>
    <w:rsid w:val="0005215F"/>
    <w:rPr>
      <w:i/>
      <w:iCs/>
    </w:rPr>
  </w:style>
  <w:style w:type="character" w:customStyle="1" w:styleId="Heading3Char">
    <w:name w:val="Heading 3 Char"/>
    <w:basedOn w:val="DefaultParagraphFont"/>
    <w:link w:val="Heading3"/>
    <w:rsid w:val="005C3D4B"/>
    <w:rPr>
      <w:rFonts w:asciiTheme="majorHAnsi" w:eastAsiaTheme="majorEastAsia" w:hAnsiTheme="majorHAnsi" w:cstheme="majorBidi"/>
      <w:b/>
      <w:bCs/>
      <w:color w:val="4F81BD" w:themeColor="accent1"/>
    </w:rPr>
  </w:style>
  <w:style w:type="character" w:customStyle="1" w:styleId="gd">
    <w:name w:val="gd"/>
    <w:basedOn w:val="DefaultParagraphFont"/>
    <w:rsid w:val="005C3D4B"/>
  </w:style>
  <w:style w:type="character" w:customStyle="1" w:styleId="g3">
    <w:name w:val="g3"/>
    <w:basedOn w:val="DefaultParagraphFont"/>
    <w:rsid w:val="005C3D4B"/>
  </w:style>
  <w:style w:type="character" w:customStyle="1" w:styleId="hb">
    <w:name w:val="hb"/>
    <w:basedOn w:val="DefaultParagraphFont"/>
    <w:rsid w:val="005C3D4B"/>
  </w:style>
  <w:style w:type="character" w:customStyle="1" w:styleId="g2">
    <w:name w:val="g2"/>
    <w:basedOn w:val="DefaultParagraphFont"/>
    <w:rsid w:val="005C3D4B"/>
  </w:style>
  <w:style w:type="paragraph" w:styleId="Revision">
    <w:name w:val="Revision"/>
    <w:hidden/>
    <w:semiHidden/>
    <w:rsid w:val="007A1458"/>
  </w:style>
  <w:style w:type="character" w:styleId="UnresolvedMention">
    <w:name w:val="Unresolved Mention"/>
    <w:basedOn w:val="DefaultParagraphFont"/>
    <w:uiPriority w:val="99"/>
    <w:semiHidden/>
    <w:unhideWhenUsed/>
    <w:rsid w:val="003C6276"/>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vaiva.serpkova@lidl.lt"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wjO/4Bmb2nRPuqgIvjxKuqNE3/g==">AMUW2mXA4/wNY/Iw3ZwB4+O9KJnUBRZogU11m3uIy8bDygyXTSHBMqxGiJAG08jwipWPyErgif7sL8/lghkLKfUvYZJKBBaqKOPIZN9W8z/eQenFkLsPk08=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864</Words>
  <Characters>4930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Lidl Stiftung &amp; Co. KG</dc:creator>
  <cp:lastModifiedBy>Rasa Didjurgytė</cp:lastModifiedBy>
  <cp:revision>4</cp:revision>
  <dcterms:created xsi:type="dcterms:W3CDTF">2022-04-25T08:36:00Z</dcterms:created>
  <dcterms:modified xsi:type="dcterms:W3CDTF">2022-04-26T06:39:00Z</dcterms:modified>
</cp:coreProperties>
</file>